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33DA" w14:textId="77777777" w:rsidR="00B2451D" w:rsidRPr="0056395F" w:rsidRDefault="00B2451D" w:rsidP="00B2451D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56395F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4</w:t>
      </w:r>
      <w:r w:rsidRPr="0056395F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7.1</w:t>
      </w:r>
      <w:r w:rsidRPr="0056395F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. – Article 9.3.1. of Chapter 9.3. Infection with NHP</w:t>
      </w:r>
      <w:bookmarkStart w:id="0" w:name="A6"/>
      <w:bookmarkEnd w:id="0"/>
    </w:p>
    <w:p w14:paraId="4159FEB3" w14:textId="77777777" w:rsidR="00B2451D" w:rsidRPr="005E0BFD" w:rsidRDefault="00B2451D" w:rsidP="00B2451D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 xml:space="preserve">CHAPTER 9.3. </w:t>
      </w:r>
      <w:r w:rsidRPr="005E0BFD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5E0BFD">
        <w:rPr>
          <w:rFonts w:eastAsia="Calibri" w:cs="Arial"/>
          <w:sz w:val="18"/>
          <w:szCs w:val="18"/>
          <w:lang w:val="en-US"/>
        </w:rPr>
        <w:br/>
      </w:r>
      <w:r w:rsidRPr="005E0BFD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INFECTION WITH HEPATOBACTER PENAEI (NECROTISING HEPATOPANCREATITIS) </w:t>
      </w:r>
    </w:p>
    <w:p w14:paraId="348CDDF6" w14:textId="77777777" w:rsidR="00B2451D" w:rsidRPr="005E0BFD" w:rsidRDefault="00B2451D" w:rsidP="00B2451D">
      <w:pPr>
        <w:spacing w:after="240" w:line="240" w:lineRule="auto"/>
        <w:jc w:val="center"/>
        <w:rPr>
          <w:rFonts w:ascii="Söhne Halbfett" w:eastAsia="Calibri" w:hAnsi="Söhne Halbfett" w:cs="Arial"/>
          <w:sz w:val="18"/>
          <w:szCs w:val="18"/>
          <w:lang w:val="en-US"/>
        </w:rPr>
      </w:pPr>
      <w:r w:rsidRPr="005E0BFD">
        <w:rPr>
          <w:rFonts w:ascii="Söhne Halbfett" w:eastAsia="Calibri" w:hAnsi="Söhne Halbfett" w:cs="Arial"/>
          <w:sz w:val="18"/>
          <w:szCs w:val="18"/>
          <w:lang w:val="en-US"/>
        </w:rPr>
        <w:t xml:space="preserve">Article 9.3.1. </w:t>
      </w:r>
    </w:p>
    <w:p w14:paraId="1B2C0468" w14:textId="77777777" w:rsidR="00B2451D" w:rsidRPr="005E0BFD" w:rsidRDefault="00B2451D" w:rsidP="00B2451D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strike/>
          <w:sz w:val="18"/>
          <w:szCs w:val="18"/>
          <w:lang w:val="en-US"/>
        </w:rPr>
      </w:pP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For the purposes </w:t>
      </w:r>
      <w:r w:rsidRPr="005E0BFD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of 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the </w:t>
      </w:r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>Aquatic Code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, infection with </w:t>
      </w:r>
      <w:proofErr w:type="spellStart"/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>Hepatobacter</w:t>
      </w:r>
      <w:proofErr w:type="spellEnd"/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>penaei</w:t>
      </w:r>
      <w:proofErr w:type="spellEnd"/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(</w:t>
      </w:r>
      <w:proofErr w:type="spellStart"/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necrotising</w:t>
      </w:r>
      <w:proofErr w:type="spellEnd"/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proofErr w:type="spellStart"/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hepatopancreatitis</w:t>
      </w:r>
      <w:proofErr w:type="spellEnd"/>
      <w:r w:rsidRPr="005E0BFD">
        <w:rPr>
          <w:rFonts w:ascii="Söhne" w:eastAsia="Arial" w:hAnsi="Söhne" w:cs="Arial"/>
          <w:sz w:val="18"/>
          <w:szCs w:val="18"/>
          <w:u w:val="double"/>
          <w:lang w:val="en-US"/>
        </w:rPr>
        <w:t>)</w:t>
      </w:r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 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means </w:t>
      </w:r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infection 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with the </w:t>
      </w:r>
      <w:r w:rsidRPr="005E0BFD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pathogenic </w:t>
      </w:r>
      <w:r w:rsidRPr="00A01532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agent </w:t>
      </w:r>
      <w:proofErr w:type="spellStart"/>
      <w:r w:rsidRPr="00A01532">
        <w:rPr>
          <w:rFonts w:ascii="Söhne" w:eastAsia="Arial" w:hAnsi="Söhne" w:cs="Arial"/>
          <w:i/>
          <w:iCs/>
          <w:sz w:val="18"/>
          <w:szCs w:val="18"/>
          <w:lang w:val="en-US"/>
        </w:rPr>
        <w:t>Candidatus</w:t>
      </w:r>
      <w:proofErr w:type="spellEnd"/>
      <w:r w:rsidRPr="00A01532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 </w:t>
      </w:r>
      <w:bookmarkStart w:id="1" w:name="_Hlk114051897"/>
      <w:proofErr w:type="spellStart"/>
      <w:r w:rsidRPr="00A01532">
        <w:rPr>
          <w:rFonts w:ascii="Söhne" w:eastAsia="Arial" w:hAnsi="Söhne" w:cs="Arial"/>
          <w:i/>
          <w:iCs/>
          <w:strike/>
          <w:sz w:val="18"/>
          <w:szCs w:val="18"/>
          <w:lang w:val="en-US"/>
        </w:rPr>
        <w:t>Hepatobacter</w:t>
      </w:r>
      <w:proofErr w:type="spellEnd"/>
      <w:r w:rsidRPr="00A01532">
        <w:rPr>
          <w:rFonts w:ascii="Söhne" w:eastAsia="Arial" w:hAnsi="Söhne" w:cs="Arial"/>
          <w:i/>
          <w:iCs/>
          <w:strike/>
          <w:sz w:val="18"/>
          <w:szCs w:val="18"/>
          <w:lang w:val="en-US"/>
        </w:rPr>
        <w:t xml:space="preserve"> </w:t>
      </w:r>
      <w:proofErr w:type="spellStart"/>
      <w:r w:rsidRPr="00A01532">
        <w:rPr>
          <w:rFonts w:ascii="Söhne" w:eastAsia="Arial" w:hAnsi="Söhne" w:cs="Arial"/>
          <w:i/>
          <w:iCs/>
          <w:strike/>
          <w:sz w:val="18"/>
          <w:szCs w:val="18"/>
          <w:lang w:val="en-US"/>
        </w:rPr>
        <w:t>penaei</w:t>
      </w:r>
      <w:bookmarkEnd w:id="1"/>
      <w:proofErr w:type="spellEnd"/>
      <w:r w:rsidRPr="00A01532">
        <w:rPr>
          <w:rFonts w:ascii="Söhne" w:eastAsia="Arial" w:hAnsi="Söhne" w:cs="Arial"/>
          <w:i/>
          <w:iCs/>
          <w:sz w:val="18"/>
          <w:szCs w:val="18"/>
          <w:lang w:val="en-US"/>
        </w:rPr>
        <w:t xml:space="preserve"> </w:t>
      </w:r>
      <w:proofErr w:type="spellStart"/>
      <w:r w:rsidRPr="00A01532">
        <w:rPr>
          <w:rFonts w:ascii="Söhne" w:eastAsia="Arial" w:hAnsi="Söhne" w:cs="Arial"/>
          <w:sz w:val="18"/>
          <w:szCs w:val="18"/>
          <w:u w:val="double"/>
          <w:lang w:val="en-US"/>
        </w:rPr>
        <w:t>Hepatobacter</w:t>
      </w:r>
      <w:proofErr w:type="spellEnd"/>
      <w:r w:rsidRPr="00A01532">
        <w:rPr>
          <w:rFonts w:ascii="Söhne" w:eastAsia="Arial" w:hAnsi="Söhne" w:cs="Arial"/>
          <w:sz w:val="18"/>
          <w:szCs w:val="18"/>
          <w:u w:val="double"/>
          <w:lang w:val="en-US"/>
        </w:rPr>
        <w:t xml:space="preserve"> </w:t>
      </w:r>
      <w:proofErr w:type="spellStart"/>
      <w:r w:rsidRPr="00A01532">
        <w:rPr>
          <w:rFonts w:ascii="Söhne" w:eastAsia="Arial" w:hAnsi="Söhne" w:cs="Arial"/>
          <w:sz w:val="18"/>
          <w:szCs w:val="18"/>
          <w:u w:val="double"/>
          <w:lang w:val="en-US"/>
        </w:rPr>
        <w:t>penaei</w:t>
      </w:r>
      <w:proofErr w:type="spellEnd"/>
      <w:r w:rsidRPr="00A01532">
        <w:rPr>
          <w:rFonts w:ascii="Söhne" w:eastAsia="Arial" w:hAnsi="Söhne" w:cs="Arial"/>
          <w:sz w:val="18"/>
          <w:szCs w:val="18"/>
          <w:lang w:val="en-US"/>
        </w:rPr>
        <w:t xml:space="preserve">, an obligate intracellular bacterium </w:t>
      </w:r>
      <w:r w:rsidRPr="00A01532">
        <w:rPr>
          <w:rFonts w:ascii="Söhne" w:eastAsia="Arial" w:hAnsi="Söhne" w:cs="Arial"/>
          <w:sz w:val="18"/>
          <w:szCs w:val="18"/>
          <w:u w:val="double"/>
          <w:lang w:val="en-US"/>
        </w:rPr>
        <w:t>of the Family</w:t>
      </w:r>
      <w:r w:rsidRPr="00A01532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proofErr w:type="spellStart"/>
      <w:r w:rsidRPr="00A01532">
        <w:rPr>
          <w:rFonts w:ascii="Söhne" w:eastAsia="Arial" w:hAnsi="Söhne" w:cs="Arial"/>
          <w:sz w:val="18"/>
          <w:szCs w:val="18"/>
          <w:u w:val="double"/>
          <w:lang w:val="en-US"/>
        </w:rPr>
        <w:t>Holosporaceae</w:t>
      </w:r>
      <w:proofErr w:type="spellEnd"/>
      <w:r w:rsidRPr="00A01532">
        <w:rPr>
          <w:rFonts w:ascii="Söhne" w:eastAsia="Arial" w:hAnsi="Söhne" w:cs="Arial"/>
          <w:sz w:val="18"/>
          <w:szCs w:val="18"/>
          <w:lang w:val="en-US"/>
        </w:rPr>
        <w:t xml:space="preserve"> </w:t>
      </w:r>
      <w:r w:rsidRPr="00A01532">
        <w:rPr>
          <w:rFonts w:ascii="Söhne" w:eastAsia="Arial" w:hAnsi="Söhne" w:cs="Arial"/>
          <w:spacing w:val="-3"/>
          <w:sz w:val="18"/>
          <w:szCs w:val="18"/>
          <w:lang w:val="en-US"/>
        </w:rPr>
        <w:t xml:space="preserve">of </w:t>
      </w:r>
      <w:r w:rsidRPr="00A01532">
        <w:rPr>
          <w:rFonts w:ascii="Söhne" w:eastAsia="Arial" w:hAnsi="Söhne" w:cs="Arial"/>
          <w:sz w:val="18"/>
          <w:szCs w:val="18"/>
          <w:lang w:val="en-US"/>
        </w:rPr>
        <w:t xml:space="preserve">the Order </w:t>
      </w:r>
      <w:proofErr w:type="spellStart"/>
      <w:r w:rsidRPr="00A01532">
        <w:rPr>
          <w:rFonts w:ascii="Söhne" w:eastAsia="Arial" w:hAnsi="Söhne" w:cs="Arial"/>
          <w:sz w:val="18"/>
          <w:szCs w:val="18"/>
          <w:u w:val="double"/>
          <w:lang w:val="en-US"/>
        </w:rPr>
        <w:t>Rickettsiales</w:t>
      </w:r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alpha</w:t>
      </w:r>
      <w:proofErr w:type="spellEnd"/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-Proteobacteria</w:t>
      </w:r>
      <w:r w:rsidRPr="00A01532">
        <w:rPr>
          <w:rFonts w:ascii="Söhne" w:eastAsia="Arial" w:hAnsi="Söhne" w:cs="Arial"/>
          <w:sz w:val="18"/>
          <w:szCs w:val="18"/>
          <w:lang w:val="en-US"/>
        </w:rPr>
        <w:t xml:space="preserve">. </w:t>
      </w:r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 xml:space="preserve">The </w:t>
      </w:r>
      <w:r w:rsidRPr="00A01532">
        <w:rPr>
          <w:rFonts w:ascii="Söhne" w:eastAsia="Arial" w:hAnsi="Söhne" w:cs="Arial"/>
          <w:i/>
          <w:iCs/>
          <w:strike/>
          <w:sz w:val="18"/>
          <w:szCs w:val="18"/>
          <w:lang w:val="en-US"/>
        </w:rPr>
        <w:t>disease</w:t>
      </w:r>
      <w:r w:rsidRPr="00A01532">
        <w:rPr>
          <w:rFonts w:ascii="Söhne" w:eastAsia="Arial" w:hAnsi="Söhne" w:cs="Arial"/>
          <w:i/>
          <w:iCs/>
          <w:strike/>
          <w:spacing w:val="-9"/>
          <w:sz w:val="18"/>
          <w:szCs w:val="18"/>
          <w:lang w:val="en-US"/>
        </w:rPr>
        <w:t xml:space="preserve"> </w:t>
      </w:r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is</w:t>
      </w:r>
      <w:r w:rsidRPr="00A01532">
        <w:rPr>
          <w:rFonts w:ascii="Söhne" w:eastAsia="Arial" w:hAnsi="Söhne" w:cs="Arial"/>
          <w:strike/>
          <w:spacing w:val="-5"/>
          <w:sz w:val="18"/>
          <w:szCs w:val="18"/>
          <w:lang w:val="en-US"/>
        </w:rPr>
        <w:t xml:space="preserve"> </w:t>
      </w:r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commonly</w:t>
      </w:r>
      <w:r w:rsidRPr="00A01532">
        <w:rPr>
          <w:rFonts w:ascii="Söhne" w:eastAsia="Arial" w:hAnsi="Söhne" w:cs="Arial"/>
          <w:strike/>
          <w:spacing w:val="-5"/>
          <w:sz w:val="18"/>
          <w:szCs w:val="18"/>
          <w:lang w:val="en-US"/>
        </w:rPr>
        <w:t xml:space="preserve"> </w:t>
      </w:r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known</w:t>
      </w:r>
      <w:r w:rsidRPr="00A01532">
        <w:rPr>
          <w:rFonts w:ascii="Söhne" w:eastAsia="Arial" w:hAnsi="Söhne" w:cs="Arial"/>
          <w:strike/>
          <w:spacing w:val="-9"/>
          <w:sz w:val="18"/>
          <w:szCs w:val="18"/>
          <w:lang w:val="en-US"/>
        </w:rPr>
        <w:t xml:space="preserve"> </w:t>
      </w:r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as</w:t>
      </w:r>
      <w:r w:rsidRPr="00A01532">
        <w:rPr>
          <w:rFonts w:ascii="Söhne" w:eastAsia="Arial" w:hAnsi="Söhne" w:cs="Arial"/>
          <w:strike/>
          <w:spacing w:val="-9"/>
          <w:sz w:val="18"/>
          <w:szCs w:val="18"/>
          <w:lang w:val="en-US"/>
        </w:rPr>
        <w:t xml:space="preserve"> </w:t>
      </w:r>
      <w:proofErr w:type="spellStart"/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necrotising</w:t>
      </w:r>
      <w:proofErr w:type="spellEnd"/>
      <w:r w:rsidRPr="00A01532">
        <w:rPr>
          <w:rFonts w:ascii="Söhne" w:eastAsia="Arial" w:hAnsi="Söhne" w:cs="Arial"/>
          <w:strike/>
          <w:spacing w:val="-5"/>
          <w:sz w:val="18"/>
          <w:szCs w:val="18"/>
          <w:lang w:val="en-US"/>
        </w:rPr>
        <w:t xml:space="preserve"> </w:t>
      </w:r>
      <w:proofErr w:type="spellStart"/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hepatopancreatitis</w:t>
      </w:r>
      <w:proofErr w:type="spellEnd"/>
      <w:r w:rsidRPr="00A01532">
        <w:rPr>
          <w:rFonts w:ascii="Söhne" w:eastAsia="Arial" w:hAnsi="Söhne" w:cs="Arial"/>
          <w:strike/>
          <w:sz w:val="18"/>
          <w:szCs w:val="18"/>
          <w:lang w:val="en-US"/>
        </w:rPr>
        <w:t>.</w:t>
      </w:r>
    </w:p>
    <w:p w14:paraId="02B1BBB0" w14:textId="77777777" w:rsidR="00B2451D" w:rsidRPr="005E0BFD" w:rsidRDefault="00B2451D" w:rsidP="00B2451D">
      <w:pPr>
        <w:widowControl w:val="0"/>
        <w:autoSpaceDE w:val="0"/>
        <w:autoSpaceDN w:val="0"/>
        <w:spacing w:after="240" w:line="240" w:lineRule="auto"/>
        <w:jc w:val="both"/>
        <w:rPr>
          <w:rFonts w:ascii="Söhne" w:eastAsia="Arial" w:hAnsi="Söhne" w:cs="Arial"/>
          <w:sz w:val="18"/>
          <w:szCs w:val="18"/>
          <w:lang w:val="en-US"/>
        </w:rPr>
      </w:pP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Information on methods for </w:t>
      </w:r>
      <w:r w:rsidRPr="005E0BFD">
        <w:rPr>
          <w:rFonts w:ascii="Söhne" w:eastAsia="Arial" w:hAnsi="Söhne" w:cs="Arial"/>
          <w:i/>
          <w:sz w:val="18"/>
          <w:szCs w:val="18"/>
          <w:lang w:val="en-US"/>
        </w:rPr>
        <w:t xml:space="preserve">diagnosis 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 xml:space="preserve">is provided in the </w:t>
      </w:r>
      <w:r w:rsidRPr="005E0BFD">
        <w:rPr>
          <w:rFonts w:ascii="Söhne" w:eastAsia="Arial" w:hAnsi="Söhne" w:cs="Arial"/>
          <w:i/>
          <w:sz w:val="18"/>
          <w:szCs w:val="18"/>
          <w:lang w:val="en-US"/>
        </w:rPr>
        <w:t>Aquatic Manual</w:t>
      </w:r>
      <w:r w:rsidRPr="005E0BFD">
        <w:rPr>
          <w:rFonts w:ascii="Söhne" w:eastAsia="Arial" w:hAnsi="Söhne" w:cs="Arial"/>
          <w:sz w:val="18"/>
          <w:szCs w:val="18"/>
          <w:lang w:val="en-US"/>
        </w:rPr>
        <w:t>.</w:t>
      </w:r>
    </w:p>
    <w:p w14:paraId="777A015C" w14:textId="77777777" w:rsidR="00B2451D" w:rsidRPr="005E0BFD" w:rsidRDefault="00B2451D" w:rsidP="00B2451D">
      <w:pPr>
        <w:widowControl w:val="0"/>
        <w:autoSpaceDE w:val="0"/>
        <w:autoSpaceDN w:val="0"/>
        <w:spacing w:after="240" w:line="240" w:lineRule="auto"/>
        <w:jc w:val="center"/>
        <w:rPr>
          <w:rFonts w:eastAsia="Arial" w:cs="Arial"/>
          <w:sz w:val="18"/>
          <w:szCs w:val="18"/>
          <w:lang w:val="en-US"/>
        </w:rPr>
      </w:pPr>
      <w:r w:rsidRPr="005E0BFD">
        <w:rPr>
          <w:rFonts w:eastAsia="Arial" w:cs="Arial"/>
          <w:sz w:val="18"/>
          <w:szCs w:val="18"/>
          <w:lang w:val="en-US"/>
        </w:rPr>
        <w:t>[…]</w:t>
      </w:r>
    </w:p>
    <w:p w14:paraId="1E932FFF" w14:textId="77777777" w:rsidR="00B2451D" w:rsidRDefault="00B2451D" w:rsidP="00B2451D">
      <w:pPr>
        <w:spacing w:after="240"/>
        <w:ind w:right="51"/>
        <w:jc w:val="center"/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0FA500B6" w14:textId="77777777" w:rsidR="00B2451D" w:rsidRDefault="00B2451D"/>
    <w:sectPr w:rsidR="00B2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MS Mincho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1D"/>
    <w:rsid w:val="00B2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BBDC"/>
  <w15:chartTrackingRefBased/>
  <w15:docId w15:val="{65CCB40D-2235-4275-82F3-E384AA9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1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4. Item 7.1. – Article 9.3.1. of Chapter 9.3. Infection with NHP</dc:title>
  <dc:subject/>
  <dc:creator>Egrie, Paul - MRP-APHIS</dc:creator>
  <cp:keywords/>
  <dc:description/>
  <cp:lastModifiedBy>Egrie, Paul - MRP-APHIS</cp:lastModifiedBy>
  <cp:revision>1</cp:revision>
  <dcterms:created xsi:type="dcterms:W3CDTF">2023-04-06T04:26:00Z</dcterms:created>
  <dcterms:modified xsi:type="dcterms:W3CDTF">2023-04-06T04:30:00Z</dcterms:modified>
</cp:coreProperties>
</file>